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CCC4" w14:textId="552EDAF1" w:rsidR="0068784E" w:rsidRPr="00236925" w:rsidRDefault="0068784E" w:rsidP="00A51AC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3692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14:paraId="6D7B58DC" w14:textId="77777777" w:rsidR="0068784E" w:rsidRPr="00236925" w:rsidRDefault="0068784E" w:rsidP="00C078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36925">
        <w:rPr>
          <w:rFonts w:ascii="Times New Roman" w:hAnsi="Times New Roman" w:cs="Times New Roman"/>
          <w:sz w:val="28"/>
          <w:szCs w:val="28"/>
          <w:lang w:eastAsia="ar-SA"/>
        </w:rPr>
        <w:t xml:space="preserve">Морецкого сельского поселения </w:t>
      </w:r>
    </w:p>
    <w:p w14:paraId="300CF213" w14:textId="77777777" w:rsidR="0068784E" w:rsidRPr="00236925" w:rsidRDefault="0068784E" w:rsidP="00C078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36925">
        <w:rPr>
          <w:rFonts w:ascii="Times New Roman" w:hAnsi="Times New Roman" w:cs="Times New Roman"/>
          <w:sz w:val="28"/>
          <w:szCs w:val="28"/>
          <w:lang w:eastAsia="ar-SA"/>
        </w:rPr>
        <w:t>Еланского муниципального района Волгоградской области</w:t>
      </w:r>
    </w:p>
    <w:p w14:paraId="7BAF8A02" w14:textId="77777777" w:rsidR="0068784E" w:rsidRPr="00236925" w:rsidRDefault="0068784E" w:rsidP="00C078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8784E" w:rsidRPr="00236925" w14:paraId="13C61030" w14:textId="77777777" w:rsidTr="0068784E">
        <w:trPr>
          <w:trHeight w:val="100"/>
        </w:trPr>
        <w:tc>
          <w:tcPr>
            <w:tcW w:w="917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14:paraId="184E5708" w14:textId="77777777" w:rsidR="0068784E" w:rsidRPr="00236925" w:rsidRDefault="0068784E" w:rsidP="00C07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106D7B64" w14:textId="77777777" w:rsidR="0068784E" w:rsidRPr="00236925" w:rsidRDefault="0068784E" w:rsidP="00C07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323689E" w14:textId="77777777" w:rsidR="0068784E" w:rsidRPr="00236925" w:rsidRDefault="0068784E" w:rsidP="00C07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692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      </w:t>
            </w:r>
            <w:r w:rsidRPr="00236925">
              <w:rPr>
                <w:rFonts w:ascii="Times New Roman" w:hAnsi="Times New Roman" w:cs="Times New Roman"/>
                <w:b/>
                <w:color w:val="FF3333"/>
                <w:sz w:val="28"/>
                <w:szCs w:val="28"/>
                <w:lang w:eastAsia="ar-SA"/>
              </w:rPr>
              <w:t xml:space="preserve"> </w:t>
            </w:r>
          </w:p>
          <w:p w14:paraId="10716592" w14:textId="77777777" w:rsidR="0068784E" w:rsidRPr="00236925" w:rsidRDefault="0068784E" w:rsidP="00C07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952424A" w14:textId="77777777" w:rsidR="0068784E" w:rsidRPr="00236925" w:rsidRDefault="0068784E" w:rsidP="00C07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3067CC38" w14:textId="13C27654" w:rsidR="0068784E" w:rsidRPr="00236925" w:rsidRDefault="0068784E" w:rsidP="00C078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6925">
        <w:rPr>
          <w:rFonts w:ascii="Times New Roman" w:hAnsi="Times New Roman" w:cs="Times New Roman"/>
          <w:sz w:val="28"/>
          <w:szCs w:val="28"/>
          <w:lang w:eastAsia="ar-SA"/>
        </w:rPr>
        <w:t xml:space="preserve">от 19.01.2024г.                                    № </w:t>
      </w:r>
      <w:r w:rsidR="00C078E1" w:rsidRPr="00236925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14:paraId="22C6BA35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0A5507" w14:textId="3BF46151" w:rsidR="00C078E1" w:rsidRPr="00236925" w:rsidRDefault="00C07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E06C4" w:rsidRPr="00236925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185CCB" w:rsidRPr="00236925">
        <w:rPr>
          <w:rFonts w:ascii="Times New Roman" w:hAnsi="Times New Roman" w:cs="Times New Roman"/>
          <w:sz w:val="28"/>
          <w:szCs w:val="28"/>
        </w:rPr>
        <w:t xml:space="preserve"> Морецкого сельского поселения Еланского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Морецкого сельского поселения Еланского муниципального района Волгоградской области</w:t>
      </w:r>
    </w:p>
    <w:p w14:paraId="1693A054" w14:textId="77777777" w:rsidR="007E06C4" w:rsidRPr="00236925" w:rsidRDefault="007E0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E2356B" w14:textId="2BC1D5ED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2369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3692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236925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236925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9048E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r w:rsidR="0059048E" w:rsidRPr="0023692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85CCB" w:rsidRPr="00236925">
        <w:rPr>
          <w:rFonts w:ascii="Times New Roman" w:hAnsi="Times New Roman" w:cs="Times New Roman"/>
          <w:sz w:val="28"/>
          <w:szCs w:val="28"/>
        </w:rPr>
        <w:t>Морецкого</w:t>
      </w:r>
      <w:r w:rsidR="005B6D3E" w:rsidRPr="00236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048E" w:rsidRPr="00236925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области,</w:t>
      </w:r>
      <w:r w:rsidR="00185CCB" w:rsidRPr="00236925">
        <w:rPr>
          <w:rFonts w:ascii="Times New Roman" w:hAnsi="Times New Roman" w:cs="Times New Roman"/>
          <w:sz w:val="28"/>
          <w:szCs w:val="28"/>
        </w:rPr>
        <w:t xml:space="preserve"> администрация Морецкого сельского поселения</w:t>
      </w:r>
    </w:p>
    <w:p w14:paraId="096C5597" w14:textId="77777777" w:rsidR="00185CCB" w:rsidRPr="00236925" w:rsidRDefault="00185CCB" w:rsidP="00185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76223" w14:textId="73252A9A" w:rsidR="00185CCB" w:rsidRPr="00236925" w:rsidRDefault="00185CCB" w:rsidP="00185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EC42BBE" w14:textId="77777777" w:rsidR="00185CCB" w:rsidRPr="00236925" w:rsidRDefault="00185CCB" w:rsidP="00185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E57A7" w14:textId="2DE57EA8" w:rsidR="0059048E" w:rsidRPr="00236925" w:rsidRDefault="0059048E" w:rsidP="00185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5" w:history="1">
        <w:r w:rsidRPr="00236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</w:t>
      </w:r>
      <w:r w:rsidR="00185CCB"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Морецкого</w:t>
      </w:r>
      <w:r w:rsidR="005B6D3E"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Морецкого</w:t>
      </w:r>
      <w:r w:rsidR="005B6D3E"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Еланского муниципального района Волгоградской области.</w:t>
      </w:r>
    </w:p>
    <w:p w14:paraId="27C559A4" w14:textId="37514463" w:rsidR="0059048E" w:rsidRPr="00236925" w:rsidRDefault="0059048E" w:rsidP="0059048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постановления Администрации 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Морецкого сельского поселения </w:t>
      </w:r>
      <w:r w:rsidRPr="002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Еланского муниципального района Волгоградской области: </w:t>
      </w:r>
    </w:p>
    <w:p w14:paraId="590CB65A" w14:textId="6166E55B" w:rsidR="0059048E" w:rsidRPr="00236925" w:rsidRDefault="0059048E" w:rsidP="005F02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 получателей средств бюджета Морецкого сельского поселения Еланского муниципального района Волгоградской области и оплаты денежных средств, подлежащих исполнению за счет бюджетных ассигнований по источникам финансирования дефицита Морецкого сельского поселения Еланского муниципального района Волгоградской области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558CB0D7" w14:textId="19801308" w:rsidR="005B36AB" w:rsidRPr="00236925" w:rsidRDefault="0059048E" w:rsidP="005B36A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F0206" w:rsidRPr="00236925">
        <w:rPr>
          <w:rFonts w:ascii="Times New Roman" w:eastAsia="Times New Roman" w:hAnsi="Times New Roman" w:cs="Times New Roman"/>
          <w:sz w:val="28"/>
          <w:szCs w:val="28"/>
        </w:rPr>
        <w:t xml:space="preserve"> 19/1</w:t>
      </w:r>
      <w:r w:rsidRPr="002369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0" w:name="_Hlk100565312"/>
      <w:r w:rsidR="005B36AB" w:rsidRPr="002369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Морецкого сельского поселения      от 20.12.2021 г. № 61  </w:t>
      </w:r>
      <w:r w:rsidR="005B36AB" w:rsidRPr="00236925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 Порядка санкционирования оплаты денежных обязательств получателей средств бюджета Морецкого сельского поселения Еланского муниципального района Волгоградской области  и оплаты денежных обязательств, подлежащих исполнению за счет бюджетных ассигнований по источникам финансирования дефицита бюджета Морецкого сельского поселения Еланского муниципального района Волгоградской области». </w:t>
      </w:r>
    </w:p>
    <w:bookmarkEnd w:id="0"/>
    <w:p w14:paraId="76EE997C" w14:textId="2AE02867" w:rsidR="0059048E" w:rsidRPr="00236925" w:rsidRDefault="0059048E" w:rsidP="0059048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5B36AB" w:rsidRPr="002369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A832F0C" w14:textId="6CF6550E" w:rsidR="0059048E" w:rsidRPr="00236925" w:rsidRDefault="0059048E" w:rsidP="0059048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</w:t>
      </w:r>
      <w:r w:rsidR="004A7A7E" w:rsidRPr="00236925">
        <w:rPr>
          <w:rFonts w:ascii="Times New Roman" w:hAnsi="Times New Roman" w:cs="Times New Roman"/>
          <w:sz w:val="28"/>
          <w:szCs w:val="28"/>
        </w:rPr>
        <w:t xml:space="preserve"> 01</w:t>
      </w:r>
      <w:r w:rsidRPr="00236925">
        <w:rPr>
          <w:rFonts w:ascii="Times New Roman" w:hAnsi="Times New Roman" w:cs="Times New Roman"/>
          <w:sz w:val="28"/>
          <w:szCs w:val="28"/>
        </w:rPr>
        <w:t xml:space="preserve"> января 2024 года, подлежит обнародованию и размещению на официальном сайте Администрации </w:t>
      </w:r>
      <w:r w:rsidR="005B36AB" w:rsidRPr="00236925">
        <w:rPr>
          <w:rFonts w:ascii="Times New Roman" w:hAnsi="Times New Roman" w:cs="Times New Roman"/>
          <w:sz w:val="28"/>
          <w:szCs w:val="28"/>
        </w:rPr>
        <w:t xml:space="preserve">Морецкого сельского поселения </w:t>
      </w:r>
      <w:r w:rsidRPr="00236925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области.</w:t>
      </w:r>
    </w:p>
    <w:p w14:paraId="55B0A2B8" w14:textId="77777777" w:rsidR="0059048E" w:rsidRPr="00236925" w:rsidRDefault="0059048E" w:rsidP="0059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F3650" w14:textId="77777777" w:rsidR="005B36AB" w:rsidRPr="00236925" w:rsidRDefault="0059048E" w:rsidP="0059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6AB" w:rsidRPr="00236925">
        <w:rPr>
          <w:rFonts w:ascii="Times New Roman" w:hAnsi="Times New Roman" w:cs="Times New Roman"/>
          <w:sz w:val="28"/>
          <w:szCs w:val="28"/>
        </w:rPr>
        <w:t xml:space="preserve">Морецкого сельского поселения </w:t>
      </w:r>
    </w:p>
    <w:p w14:paraId="745F51FE" w14:textId="09EC8B78" w:rsidR="0059048E" w:rsidRPr="00236925" w:rsidRDefault="0059048E" w:rsidP="0059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    </w:t>
      </w:r>
    </w:p>
    <w:p w14:paraId="07D985B9" w14:textId="60A2D284" w:rsidR="0059048E" w:rsidRPr="00236925" w:rsidRDefault="0059048E" w:rsidP="0059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2369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5B36AB" w:rsidRPr="00236925">
        <w:rPr>
          <w:rFonts w:ascii="Times New Roman" w:hAnsi="Times New Roman" w:cs="Times New Roman"/>
          <w:sz w:val="28"/>
          <w:szCs w:val="28"/>
        </w:rPr>
        <w:t xml:space="preserve">                     Н.Т. Анисимов</w:t>
      </w:r>
      <w:r w:rsidRPr="002369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EBB4D7" w14:textId="77777777" w:rsidR="0059048E" w:rsidRPr="00236925" w:rsidRDefault="0059048E" w:rsidP="0059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692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4308B02B" w14:textId="77777777" w:rsidR="00E632C1" w:rsidRPr="00236925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5B2DE6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FCA6F3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9D7C50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B6E035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C40E40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635B2F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ADDACF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B03501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EE403A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22DB3E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41C232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C3EED9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AEF03F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436CA3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AB9B8F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7B7777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A30B1D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EE2D2D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4808CB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860785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DB66DE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05F531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9C2886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CB80B6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158C67" w14:textId="77777777" w:rsidR="0059048E" w:rsidRPr="00236925" w:rsidRDefault="00590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DCF562" w14:textId="77777777" w:rsidR="00A51AC2" w:rsidRDefault="00A51A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9DEE41" w14:textId="01923A8D" w:rsidR="007C4397" w:rsidRPr="00236925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1C9EC69" w14:textId="69AAA11C" w:rsidR="007C4397" w:rsidRPr="00236925" w:rsidRDefault="005B3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EF148A8" w14:textId="5250FC49" w:rsidR="005B36AB" w:rsidRPr="00236925" w:rsidRDefault="005B3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Морецкого сельского поселения</w:t>
      </w:r>
    </w:p>
    <w:p w14:paraId="65B13C44" w14:textId="77777777" w:rsidR="005B36AB" w:rsidRPr="00236925" w:rsidRDefault="005B3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</w:p>
    <w:p w14:paraId="0A965ED4" w14:textId="5B61EF0B" w:rsidR="005B36AB" w:rsidRPr="00236925" w:rsidRDefault="005B3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7FA7572A" w14:textId="0D92EF70" w:rsidR="00E632C1" w:rsidRPr="00236925" w:rsidRDefault="007C4397" w:rsidP="005B3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P38"/>
      <w:bookmarkEnd w:id="1"/>
      <w:r w:rsidR="005B36AB" w:rsidRPr="00236925">
        <w:rPr>
          <w:rFonts w:ascii="Times New Roman" w:hAnsi="Times New Roman" w:cs="Times New Roman"/>
          <w:sz w:val="24"/>
          <w:szCs w:val="24"/>
        </w:rPr>
        <w:t>19.01.2024г. № 6</w:t>
      </w:r>
    </w:p>
    <w:p w14:paraId="51C7F572" w14:textId="77777777" w:rsidR="007C4397" w:rsidRPr="00236925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ПОРЯДОК</w:t>
      </w:r>
    </w:p>
    <w:p w14:paraId="7F1FF4BF" w14:textId="77777777" w:rsidR="007C4397" w:rsidRPr="00236925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14:paraId="07FD3788" w14:textId="77777777" w:rsidR="007C4397" w:rsidRPr="00236925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</w:p>
    <w:p w14:paraId="1847FE80" w14:textId="77777777" w:rsidR="007C4397" w:rsidRPr="00236925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</w:p>
    <w:p w14:paraId="1CFB40C8" w14:textId="77777777" w:rsidR="007C4397" w:rsidRPr="00236925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14:paraId="6DF0E8AF" w14:textId="77777777" w:rsidR="007C4397" w:rsidRPr="00236925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4E1B6BF9" w14:textId="77777777" w:rsidR="007C4397" w:rsidRPr="00236925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D0A069A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BFEF0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="00E632C1" w:rsidRPr="00236925">
        <w:rPr>
          <w:rFonts w:ascii="Times New Roman" w:hAnsi="Times New Roman" w:cs="Times New Roman"/>
          <w:sz w:val="28"/>
          <w:szCs w:val="28"/>
        </w:rPr>
        <w:t>органом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r w:rsidR="00E632C1" w:rsidRPr="00236925">
        <w:rPr>
          <w:rFonts w:ascii="Times New Roman" w:hAnsi="Times New Roman" w:cs="Times New Roman"/>
          <w:sz w:val="28"/>
          <w:szCs w:val="28"/>
        </w:rPr>
        <w:t>осуществляющим</w:t>
      </w:r>
      <w:r w:rsidR="00801B5A" w:rsidRPr="00236925">
        <w:rPr>
          <w:rFonts w:ascii="Times New Roman" w:hAnsi="Times New Roman" w:cs="Times New Roman"/>
          <w:sz w:val="28"/>
          <w:szCs w:val="28"/>
        </w:rPr>
        <w:t xml:space="preserve"> открытие и ведение лицевого счета получателя средств местного бюджета </w:t>
      </w:r>
      <w:r w:rsidRPr="00236925">
        <w:rPr>
          <w:rFonts w:ascii="Times New Roman" w:hAnsi="Times New Roman" w:cs="Times New Roman"/>
          <w:sz w:val="28"/>
          <w:szCs w:val="28"/>
        </w:rPr>
        <w:t>(</w:t>
      </w:r>
      <w:r w:rsidR="00801B5A" w:rsidRPr="00236925">
        <w:rPr>
          <w:rFonts w:ascii="Times New Roman" w:hAnsi="Times New Roman" w:cs="Times New Roman"/>
          <w:sz w:val="28"/>
          <w:szCs w:val="28"/>
        </w:rPr>
        <w:t>далее – орган</w:t>
      </w:r>
      <w:r w:rsidR="00E632C1" w:rsidRPr="00236925">
        <w:rPr>
          <w:rFonts w:ascii="Times New Roman" w:hAnsi="Times New Roman" w:cs="Times New Roman"/>
          <w:sz w:val="28"/>
          <w:szCs w:val="28"/>
        </w:rPr>
        <w:t>, осуществляющий</w:t>
      </w:r>
      <w:r w:rsidR="00801B5A" w:rsidRPr="00236925">
        <w:rPr>
          <w:rFonts w:ascii="Times New Roman" w:hAnsi="Times New Roman" w:cs="Times New Roman"/>
          <w:sz w:val="28"/>
          <w:szCs w:val="28"/>
        </w:rPr>
        <w:t xml:space="preserve">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.</w:t>
      </w:r>
    </w:p>
    <w:p w14:paraId="6560117B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14:paraId="318B82C9" w14:textId="77777777" w:rsidR="005B6D3E" w:rsidRPr="00236925" w:rsidRDefault="005B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14:paraId="50253076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3.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23692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107">
        <w:r w:rsidRPr="00236925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3">
        <w:r w:rsidRPr="0023692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23692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Pr="0023692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Pr="0023692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59">
        <w:r w:rsidRPr="00236925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2369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3DC0F7B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F16009" w:rsidRPr="0023692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F16009" w:rsidRPr="00236925">
        <w:rPr>
          <w:rFonts w:ascii="Times New Roman" w:hAnsi="Times New Roman" w:cs="Times New Roman"/>
          <w:sz w:val="28"/>
          <w:szCs w:val="28"/>
        </w:rPr>
        <w:lastRenderedPageBreak/>
        <w:t>осуществляющий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>;</w:t>
      </w:r>
    </w:p>
    <w:p w14:paraId="2EECAB1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236925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14:paraId="486D1369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) для открытия со</w:t>
      </w:r>
      <w:r w:rsidR="00E632C1" w:rsidRPr="00236925">
        <w:rPr>
          <w:rFonts w:ascii="Times New Roman" w:hAnsi="Times New Roman" w:cs="Times New Roman"/>
          <w:sz w:val="28"/>
          <w:szCs w:val="28"/>
        </w:rPr>
        <w:t xml:space="preserve">ответствующего лицевого счета 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14:paraId="1B8E6C80" w14:textId="77777777" w:rsidR="00E632C1" w:rsidRPr="00236925" w:rsidRDefault="00E632C1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E53DAC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236925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127BBACA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B99FEA" w14:textId="77777777" w:rsidR="007C4397" w:rsidRPr="00236925" w:rsidRDefault="007C4397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14:paraId="7F38A740" w14:textId="77777777" w:rsidR="00E632C1" w:rsidRPr="00236925" w:rsidRDefault="00E632C1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53AE3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9">
        <w:r w:rsidRPr="0023692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14:paraId="1B60DB07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6DBF56B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32C1" w:rsidRPr="00236925">
        <w:rPr>
          <w:rFonts w:ascii="Times New Roman" w:hAnsi="Times New Roman" w:cs="Times New Roman"/>
          <w:sz w:val="28"/>
          <w:szCs w:val="28"/>
        </w:rPr>
        <w:t>)</w:t>
      </w:r>
      <w:r w:rsidRPr="00236925">
        <w:rPr>
          <w:rFonts w:ascii="Times New Roman" w:hAnsi="Times New Roman" w:cs="Times New Roman"/>
          <w:sz w:val="28"/>
          <w:szCs w:val="28"/>
        </w:rPr>
        <w:t>;</w:t>
      </w:r>
    </w:p>
    <w:p w14:paraId="606F572B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2A6FE39D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236925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gramStart"/>
      <w:r w:rsidRPr="00236925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236925">
        <w:rPr>
          <w:rFonts w:ascii="Times New Roman" w:hAnsi="Times New Roman" w:cs="Times New Roman"/>
          <w:sz w:val="28"/>
          <w:szCs w:val="28"/>
        </w:rPr>
        <w:t xml:space="preserve"> учтенного в </w:t>
      </w:r>
      <w:r w:rsidR="00A06BA7" w:rsidRPr="00236925">
        <w:rPr>
          <w:rFonts w:ascii="Times New Roman" w:hAnsi="Times New Roman" w:cs="Times New Roman"/>
          <w:sz w:val="28"/>
          <w:szCs w:val="28"/>
        </w:rPr>
        <w:t>органе, осуществляющим ведение лицевого счета</w:t>
      </w:r>
      <w:r w:rsidR="00E632C1" w:rsidRPr="00236925">
        <w:rPr>
          <w:rFonts w:ascii="Times New Roman" w:hAnsi="Times New Roman" w:cs="Times New Roman"/>
          <w:sz w:val="28"/>
          <w:szCs w:val="28"/>
        </w:rPr>
        <w:t xml:space="preserve">, </w:t>
      </w:r>
      <w:r w:rsidRPr="00236925">
        <w:rPr>
          <w:rFonts w:ascii="Times New Roman" w:hAnsi="Times New Roman" w:cs="Times New Roman"/>
          <w:sz w:val="28"/>
          <w:szCs w:val="28"/>
        </w:rPr>
        <w:t xml:space="preserve">бюджетного обязательства и номера денежного обязательства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17BD375" w14:textId="77777777" w:rsidR="007C4397" w:rsidRPr="00236925" w:rsidRDefault="0066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36925">
        <w:rPr>
          <w:rFonts w:ascii="Times New Roman" w:hAnsi="Times New Roman" w:cs="Times New Roman"/>
          <w:sz w:val="28"/>
          <w:szCs w:val="28"/>
        </w:rPr>
        <w:t>9</w:t>
      </w:r>
      <w:r w:rsidR="007C4397" w:rsidRPr="00236925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236925">
        <w:rPr>
          <w:rFonts w:ascii="Times New Roman" w:hAnsi="Times New Roman" w:cs="Times New Roman"/>
          <w:sz w:val="28"/>
          <w:szCs w:val="28"/>
        </w:rPr>
        <w:t xml:space="preserve"> систему Российской Федерации</w:t>
      </w:r>
      <w:r w:rsidR="007C4397" w:rsidRPr="00236925">
        <w:rPr>
          <w:rFonts w:ascii="Times New Roman" w:hAnsi="Times New Roman" w:cs="Times New Roman"/>
          <w:sz w:val="28"/>
          <w:szCs w:val="28"/>
        </w:rPr>
        <w:t>;</w:t>
      </w:r>
    </w:p>
    <w:p w14:paraId="266BE5AE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70434" w14:textId="086EB011" w:rsidR="007C4397" w:rsidRPr="00236925" w:rsidRDefault="007C4397" w:rsidP="005B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6623ED" w:rsidRPr="00236925">
        <w:rPr>
          <w:rFonts w:ascii="Times New Roman" w:hAnsi="Times New Roman" w:cs="Times New Roman"/>
          <w:sz w:val="28"/>
          <w:szCs w:val="28"/>
        </w:rPr>
        <w:t>0</w:t>
      </w:r>
      <w:r w:rsidRPr="00236925">
        <w:rPr>
          <w:rFonts w:ascii="Times New Roman" w:hAnsi="Times New Roman" w:cs="Times New Roman"/>
          <w:sz w:val="28"/>
          <w:szCs w:val="28"/>
        </w:rPr>
        <w:t>) реквизитов (номе</w:t>
      </w:r>
      <w:r w:rsidR="00E632C1" w:rsidRPr="00236925">
        <w:rPr>
          <w:rFonts w:ascii="Times New Roman" w:hAnsi="Times New Roman" w:cs="Times New Roman"/>
          <w:sz w:val="28"/>
          <w:szCs w:val="28"/>
        </w:rPr>
        <w:t xml:space="preserve">р, дата) документов (договора (муниципального </w:t>
      </w:r>
      <w:r w:rsidRPr="00236925">
        <w:rPr>
          <w:rFonts w:ascii="Times New Roman" w:hAnsi="Times New Roman" w:cs="Times New Roman"/>
          <w:sz w:val="28"/>
          <w:szCs w:val="28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64F4E" w:rsidRPr="00236925">
        <w:rPr>
          <w:rFonts w:ascii="Times New Roman" w:hAnsi="Times New Roman" w:cs="Times New Roman"/>
          <w:sz w:val="28"/>
          <w:szCs w:val="28"/>
        </w:rPr>
        <w:t xml:space="preserve">иного муниципального образования межбюджетного </w:t>
      </w:r>
      <w:r w:rsidRPr="00236925">
        <w:rPr>
          <w:rFonts w:ascii="Times New Roman" w:hAnsi="Times New Roman" w:cs="Times New Roman"/>
          <w:sz w:val="28"/>
          <w:szCs w:val="28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236925">
        <w:rPr>
          <w:rFonts w:ascii="Times New Roman" w:hAnsi="Times New Roman" w:cs="Times New Roman"/>
          <w:sz w:val="28"/>
          <w:szCs w:val="28"/>
        </w:rPr>
        <w:t>муниципальному</w:t>
      </w:r>
      <w:r w:rsidRPr="00236925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0">
        <w:r w:rsidRPr="00236925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,</w:t>
      </w:r>
      <w:r w:rsidR="00864F4E" w:rsidRPr="00236925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="00864F4E" w:rsidRPr="00236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6AB" w:rsidRPr="00236925">
        <w:rPr>
          <w:rFonts w:ascii="Times New Roman" w:hAnsi="Times New Roman" w:cs="Times New Roman"/>
          <w:sz w:val="28"/>
          <w:szCs w:val="28"/>
        </w:rPr>
        <w:t>п</w:t>
      </w:r>
      <w:r w:rsidR="005B6D3E" w:rsidRPr="0023692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B36AB" w:rsidRPr="00236925">
        <w:rPr>
          <w:rFonts w:ascii="Times New Roman" w:hAnsi="Times New Roman" w:cs="Times New Roman"/>
          <w:sz w:val="28"/>
          <w:szCs w:val="28"/>
        </w:rPr>
        <w:t xml:space="preserve">администрации Морецкого сельского поселения </w:t>
      </w:r>
      <w:r w:rsidR="00E74F00" w:rsidRPr="00236925">
        <w:rPr>
          <w:rFonts w:ascii="Times New Roman" w:hAnsi="Times New Roman" w:cs="Times New Roman"/>
          <w:sz w:val="28"/>
          <w:szCs w:val="28"/>
        </w:rPr>
        <w:t xml:space="preserve">сельского поселения Еланского муниципального района Волгоградской области </w:t>
      </w:r>
      <w:r w:rsidR="005B6D3E" w:rsidRPr="00236925">
        <w:rPr>
          <w:rFonts w:ascii="Times New Roman" w:hAnsi="Times New Roman" w:cs="Times New Roman"/>
          <w:sz w:val="28"/>
          <w:szCs w:val="28"/>
        </w:rPr>
        <w:t xml:space="preserve">«Об утверждении Порядка учета бюджетных и денежных обязательств получателей средств бюджета </w:t>
      </w:r>
      <w:r w:rsidR="005B36AB" w:rsidRPr="00236925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5B6D3E" w:rsidRPr="00236925">
        <w:rPr>
          <w:rFonts w:ascii="Times New Roman" w:hAnsi="Times New Roman" w:cs="Times New Roman"/>
          <w:sz w:val="28"/>
          <w:szCs w:val="28"/>
        </w:rPr>
        <w:t>сельского поселения Еланского муниципального района Волгоградской области»</w:t>
      </w:r>
      <w:r w:rsidR="00E74F00" w:rsidRPr="00236925">
        <w:rPr>
          <w:rFonts w:ascii="Times New Roman" w:hAnsi="Times New Roman" w:cs="Times New Roman"/>
          <w:sz w:val="28"/>
          <w:szCs w:val="28"/>
        </w:rPr>
        <w:t xml:space="preserve"> № </w:t>
      </w:r>
      <w:r w:rsidR="005B36AB" w:rsidRPr="00236925">
        <w:rPr>
          <w:rFonts w:ascii="Times New Roman" w:hAnsi="Times New Roman" w:cs="Times New Roman"/>
          <w:sz w:val="28"/>
          <w:szCs w:val="28"/>
        </w:rPr>
        <w:t>6</w:t>
      </w:r>
      <w:r w:rsidR="00E74F00" w:rsidRPr="00236925">
        <w:rPr>
          <w:rFonts w:ascii="Times New Roman" w:hAnsi="Times New Roman" w:cs="Times New Roman"/>
          <w:sz w:val="28"/>
          <w:szCs w:val="28"/>
        </w:rPr>
        <w:t xml:space="preserve">   от </w:t>
      </w:r>
      <w:r w:rsidR="005B36AB" w:rsidRPr="00236925">
        <w:rPr>
          <w:rFonts w:ascii="Times New Roman" w:hAnsi="Times New Roman" w:cs="Times New Roman"/>
          <w:sz w:val="28"/>
          <w:szCs w:val="28"/>
        </w:rPr>
        <w:t>19.01.</w:t>
      </w:r>
      <w:r w:rsidR="00E74F00" w:rsidRPr="00236925">
        <w:rPr>
          <w:rFonts w:ascii="Times New Roman" w:hAnsi="Times New Roman" w:cs="Times New Roman"/>
          <w:sz w:val="28"/>
          <w:szCs w:val="28"/>
        </w:rPr>
        <w:t xml:space="preserve">2024г. 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(далее - порядок учета обязательств);</w:t>
      </w:r>
    </w:p>
    <w:p w14:paraId="6948F702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3909CE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6623ED" w:rsidRPr="00236925">
        <w:rPr>
          <w:rFonts w:ascii="Times New Roman" w:hAnsi="Times New Roman" w:cs="Times New Roman"/>
          <w:sz w:val="28"/>
          <w:szCs w:val="28"/>
        </w:rPr>
        <w:t>1</w:t>
      </w:r>
      <w:r w:rsidRPr="00236925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1">
        <w:r w:rsidRPr="00236925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4F4E" w:rsidRPr="00236925">
        <w:rPr>
          <w:rFonts w:ascii="Times New Roman" w:hAnsi="Times New Roman" w:cs="Times New Roman"/>
          <w:sz w:val="28"/>
          <w:szCs w:val="28"/>
        </w:rPr>
        <w:t>, являющегося приложением №</w:t>
      </w:r>
      <w:r w:rsidRPr="00236925">
        <w:rPr>
          <w:rFonts w:ascii="Times New Roman" w:hAnsi="Times New Roman" w:cs="Times New Roman"/>
          <w:sz w:val="28"/>
          <w:szCs w:val="28"/>
        </w:rPr>
        <w:t xml:space="preserve"> 3 к Порядку учета денежных обязательств (далее соответственно - документы, подтверждающие возникновение денежных обязательств, Перечень), за исключением реквизитов документов, </w:t>
      </w:r>
      <w:r w:rsidRPr="00236925">
        <w:rPr>
          <w:rFonts w:ascii="Times New Roman" w:hAnsi="Times New Roman" w:cs="Times New Roman"/>
          <w:sz w:val="28"/>
          <w:szCs w:val="28"/>
        </w:rPr>
        <w:lastRenderedPageBreak/>
        <w:t>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236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36925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9663E9" w:rsidRPr="0023692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36925">
        <w:rPr>
          <w:rFonts w:ascii="Times New Roman" w:hAnsi="Times New Roman" w:cs="Times New Roman"/>
          <w:sz w:val="28"/>
          <w:szCs w:val="28"/>
        </w:rPr>
        <w:t>контракту), если условиями таких договоров (</w:t>
      </w:r>
      <w:r w:rsidR="009663E9" w:rsidRPr="00236925">
        <w:rPr>
          <w:rFonts w:ascii="Times New Roman" w:hAnsi="Times New Roman" w:cs="Times New Roman"/>
          <w:sz w:val="28"/>
          <w:szCs w:val="28"/>
        </w:rPr>
        <w:t>муниципальных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3A39E3E6" w14:textId="77777777" w:rsidR="007C4397" w:rsidRPr="00236925" w:rsidRDefault="0066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236925">
        <w:rPr>
          <w:rFonts w:ascii="Times New Roman" w:hAnsi="Times New Roman" w:cs="Times New Roman"/>
          <w:sz w:val="28"/>
          <w:szCs w:val="28"/>
        </w:rPr>
        <w:t>12</w:t>
      </w:r>
      <w:r w:rsidR="007C4397" w:rsidRPr="00236925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59E8D402" w14:textId="77777777" w:rsidR="007C4397" w:rsidRPr="00236925" w:rsidRDefault="0066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13</w:t>
      </w:r>
      <w:r w:rsidR="007C4397" w:rsidRPr="00236925">
        <w:rPr>
          <w:rFonts w:ascii="Times New Roman" w:hAnsi="Times New Roman" w:cs="Times New Roman"/>
          <w:sz w:val="28"/>
          <w:szCs w:val="28"/>
        </w:rPr>
        <w:t>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средств;</w:t>
      </w:r>
    </w:p>
    <w:p w14:paraId="541A2851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9923B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935D60" w:rsidRPr="00236925">
        <w:rPr>
          <w:rFonts w:ascii="Times New Roman" w:hAnsi="Times New Roman" w:cs="Times New Roman"/>
          <w:sz w:val="28"/>
          <w:szCs w:val="28"/>
        </w:rPr>
        <w:t>4</w:t>
      </w:r>
      <w:r w:rsidRPr="00236925">
        <w:rPr>
          <w:rFonts w:ascii="Times New Roman" w:hAnsi="Times New Roman" w:cs="Times New Roman"/>
          <w:sz w:val="28"/>
          <w:szCs w:val="28"/>
        </w:rPr>
        <w:t xml:space="preserve">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236925">
        <w:rPr>
          <w:rFonts w:ascii="Times New Roman" w:hAnsi="Times New Roman" w:cs="Times New Roman"/>
          <w:sz w:val="28"/>
          <w:szCs w:val="28"/>
        </w:rPr>
        <w:t xml:space="preserve">(далее - реестр контрактов) </w:t>
      </w:r>
      <w:r w:rsidR="00E74F00" w:rsidRPr="00236925">
        <w:rPr>
          <w:rFonts w:ascii="Times New Roman" w:hAnsi="Times New Roman" w:cs="Times New Roman"/>
          <w:sz w:val="28"/>
          <w:szCs w:val="28"/>
        </w:rPr>
        <w:t>.</w:t>
      </w:r>
    </w:p>
    <w:p w14:paraId="5ABB9D00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2F259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236925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87">
        <w:r w:rsidR="00935D60" w:rsidRPr="0023692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  <w:r w:rsidR="00935D60" w:rsidRPr="00236925">
          <w:rPr>
            <w:rFonts w:ascii="Times New Roman" w:hAnsi="Times New Roman" w:cs="Times New Roman"/>
            <w:sz w:val="28"/>
            <w:szCs w:val="28"/>
          </w:rPr>
          <w:t>2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14:paraId="3C982902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14:paraId="346A020D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>
        <w:r w:rsidRPr="00236925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935D60" w:rsidRPr="00236925">
          <w:rPr>
            <w:rFonts w:ascii="Times New Roman" w:hAnsi="Times New Roman" w:cs="Times New Roman"/>
            <w:sz w:val="28"/>
            <w:szCs w:val="28"/>
          </w:rPr>
          <w:t>0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236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36925">
        <w:rPr>
          <w:rFonts w:ascii="Times New Roman" w:hAnsi="Times New Roman" w:cs="Times New Roman"/>
          <w:sz w:val="28"/>
          <w:szCs w:val="28"/>
        </w:rPr>
        <w:t>контракта) законодательством Российской Федерации не предусмотрено.</w:t>
      </w:r>
    </w:p>
    <w:p w14:paraId="61DD7BC5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 </w:t>
      </w:r>
      <w:r w:rsidRPr="0023692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одного денежного обязательства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).</w:t>
      </w:r>
    </w:p>
    <w:p w14:paraId="08E2269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236925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66EFF3AE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r w:rsidRPr="00236925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E643F37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06D9F521" w14:textId="6B011499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236925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далее - порядок применения бюджетной классификации);</w:t>
      </w:r>
    </w:p>
    <w:p w14:paraId="729DA5C9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EE1611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23692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14:paraId="5CD1625D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2"/>
      <w:bookmarkEnd w:id="15"/>
    </w:p>
    <w:p w14:paraId="67B781F8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8"/>
      <w:bookmarkEnd w:id="16"/>
      <w:r w:rsidRPr="00236925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0601EE6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14:paraId="13246B38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77320FD8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14:paraId="5696BCC4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6FD4893C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47A1C16D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</w:t>
      </w:r>
      <w:r w:rsidR="002969D6" w:rsidRPr="00236925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Pr="00236925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14:paraId="23864B8A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2369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контракта) в случае, если договором (</w:t>
      </w:r>
      <w:r w:rsidR="002969D6" w:rsidRPr="00236925">
        <w:rPr>
          <w:rFonts w:ascii="Times New Roman" w:hAnsi="Times New Roman" w:cs="Times New Roman"/>
          <w:sz w:val="28"/>
          <w:szCs w:val="28"/>
        </w:rPr>
        <w:t>муниципальным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14:paraId="720CB7E9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7"/>
      <w:bookmarkEnd w:id="17"/>
      <w:r w:rsidRPr="00236925">
        <w:rPr>
          <w:rFonts w:ascii="Times New Roman" w:hAnsi="Times New Roman" w:cs="Times New Roman"/>
          <w:sz w:val="28"/>
          <w:szCs w:val="28"/>
        </w:rPr>
        <w:t xml:space="preserve">13) соответствие уникального номера реестровой записи в реестре контрактов </w:t>
      </w:r>
      <w:r w:rsidR="002969D6" w:rsidRPr="00236925">
        <w:rPr>
          <w:rFonts w:ascii="Times New Roman" w:hAnsi="Times New Roman" w:cs="Times New Roman"/>
          <w:sz w:val="28"/>
          <w:szCs w:val="28"/>
        </w:rPr>
        <w:t xml:space="preserve">(далее - реестр контрактов), договору (муниципальному </w:t>
      </w:r>
      <w:r w:rsidRPr="00236925">
        <w:rPr>
          <w:rFonts w:ascii="Times New Roman" w:hAnsi="Times New Roman" w:cs="Times New Roman"/>
          <w:sz w:val="28"/>
          <w:szCs w:val="28"/>
        </w:rPr>
        <w:t>контракту), подлежащему включению в реестр контрактов, указанных в Распоряжении;</w:t>
      </w:r>
    </w:p>
    <w:p w14:paraId="6CF84A1F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40776F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Start w:id="19" w:name="P145"/>
      <w:bookmarkEnd w:id="18"/>
      <w:bookmarkEnd w:id="19"/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E92A76" w:rsidRPr="00236925">
        <w:rPr>
          <w:rFonts w:ascii="Times New Roman" w:hAnsi="Times New Roman" w:cs="Times New Roman"/>
          <w:sz w:val="28"/>
          <w:szCs w:val="28"/>
        </w:rPr>
        <w:t>4</w:t>
      </w:r>
      <w:r w:rsidRPr="002369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20328DA8" w14:textId="77777777" w:rsidR="00761FA3" w:rsidRPr="00236925" w:rsidRDefault="00761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Start w:id="21" w:name="P150"/>
      <w:bookmarkEnd w:id="20"/>
      <w:bookmarkEnd w:id="21"/>
    </w:p>
    <w:p w14:paraId="4E711F93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E92A76" w:rsidRPr="00236925">
        <w:rPr>
          <w:rFonts w:ascii="Times New Roman" w:hAnsi="Times New Roman" w:cs="Times New Roman"/>
          <w:sz w:val="28"/>
          <w:szCs w:val="28"/>
        </w:rPr>
        <w:t>5</w:t>
      </w:r>
      <w:r w:rsidRPr="00236925">
        <w:rPr>
          <w:rFonts w:ascii="Times New Roman" w:hAnsi="Times New Roman" w:cs="Times New Roman"/>
          <w:sz w:val="28"/>
          <w:szCs w:val="28"/>
        </w:rPr>
        <w:t>) соответствие идентификатора договора (</w:t>
      </w:r>
      <w:r w:rsidR="002969D6" w:rsidRPr="00236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36925">
        <w:rPr>
          <w:rFonts w:ascii="Times New Roman" w:hAnsi="Times New Roman" w:cs="Times New Roman"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23692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36925">
        <w:rPr>
          <w:rFonts w:ascii="Times New Roman" w:hAnsi="Times New Roman" w:cs="Times New Roman"/>
          <w:sz w:val="28"/>
          <w:szCs w:val="28"/>
        </w:rPr>
        <w:t>контракте), соглашении, договоре о предоставлении инвестиций (при наличии);</w:t>
      </w:r>
    </w:p>
    <w:p w14:paraId="64D5376C" w14:textId="77777777" w:rsidR="007C4397" w:rsidRPr="00236925" w:rsidRDefault="00E92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16</w:t>
      </w:r>
      <w:r w:rsidR="007C4397" w:rsidRPr="00236925">
        <w:rPr>
          <w:rFonts w:ascii="Times New Roman" w:hAnsi="Times New Roman" w:cs="Times New Roman"/>
          <w:sz w:val="28"/>
          <w:szCs w:val="28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62BC0F16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4"/>
      <w:bookmarkEnd w:id="22"/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E92A76" w:rsidRPr="00236925">
        <w:rPr>
          <w:rFonts w:ascii="Times New Roman" w:hAnsi="Times New Roman" w:cs="Times New Roman"/>
          <w:sz w:val="28"/>
          <w:szCs w:val="28"/>
        </w:rPr>
        <w:t>7</w:t>
      </w:r>
      <w:r w:rsidRPr="002369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14:paraId="639BAB90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"/>
      <w:bookmarkStart w:id="24" w:name="P159"/>
      <w:bookmarkEnd w:id="23"/>
      <w:bookmarkEnd w:id="24"/>
      <w:r w:rsidRPr="00236925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236925">
        <w:rPr>
          <w:rFonts w:ascii="Times New Roman" w:hAnsi="Times New Roman" w:cs="Times New Roman"/>
          <w:sz w:val="28"/>
          <w:szCs w:val="28"/>
        </w:rPr>
        <w:t xml:space="preserve">органом, осуществляющим ведение </w:t>
      </w:r>
      <w:r w:rsidR="00F16009" w:rsidRPr="00236925">
        <w:rPr>
          <w:rFonts w:ascii="Times New Roman" w:hAnsi="Times New Roman" w:cs="Times New Roman"/>
          <w:sz w:val="28"/>
          <w:szCs w:val="28"/>
        </w:rPr>
        <w:lastRenderedPageBreak/>
        <w:t>лицевого счета</w:t>
      </w:r>
      <w:r w:rsidR="000A22DD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12">
        <w:r w:rsidRPr="00236925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23692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236925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236925">
          <w:rPr>
            <w:rFonts w:ascii="Times New Roman" w:hAnsi="Times New Roman" w:cs="Times New Roman"/>
            <w:sz w:val="28"/>
            <w:szCs w:val="28"/>
          </w:rPr>
          <w:t xml:space="preserve">строках </w:t>
        </w:r>
      </w:hyperlink>
      <w:r w:rsidR="00164F94" w:rsidRPr="00236925">
        <w:rPr>
          <w:rFonts w:ascii="Times New Roman" w:hAnsi="Times New Roman" w:cs="Times New Roman"/>
          <w:sz w:val="28"/>
          <w:szCs w:val="28"/>
        </w:rPr>
        <w:t>8</w:t>
      </w:r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="00164F94" w:rsidRPr="002369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64F94" w:rsidRPr="00236925">
        <w:rPr>
          <w:rFonts w:ascii="Times New Roman" w:hAnsi="Times New Roman" w:cs="Times New Roman"/>
          <w:sz w:val="28"/>
          <w:szCs w:val="28"/>
        </w:rPr>
        <w:t xml:space="preserve"> ,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4F94" w:rsidRPr="00236925">
        <w:rPr>
          <w:rFonts w:ascii="Times New Roman" w:hAnsi="Times New Roman" w:cs="Times New Roman"/>
          <w:sz w:val="28"/>
          <w:szCs w:val="28"/>
        </w:rPr>
        <w:t>2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r w:rsidR="003470B5" w:rsidRPr="00236925">
        <w:rPr>
          <w:rFonts w:ascii="Times New Roman" w:hAnsi="Times New Roman" w:cs="Times New Roman"/>
          <w:sz w:val="28"/>
          <w:szCs w:val="28"/>
        </w:rPr>
        <w:t>–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  <w:r w:rsidR="00164F94" w:rsidRPr="00236925">
          <w:rPr>
            <w:rFonts w:ascii="Times New Roman" w:hAnsi="Times New Roman" w:cs="Times New Roman"/>
            <w:sz w:val="28"/>
            <w:szCs w:val="28"/>
          </w:rPr>
          <w:t>5</w:t>
        </w:r>
        <w:r w:rsidR="003470B5" w:rsidRPr="00236925">
          <w:rPr>
            <w:rFonts w:ascii="Times New Roman" w:hAnsi="Times New Roman" w:cs="Times New Roman"/>
            <w:sz w:val="28"/>
            <w:szCs w:val="28"/>
          </w:rPr>
          <w:t>,</w:t>
        </w:r>
        <w:r w:rsidR="00164F94" w:rsidRPr="00236925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3470B5" w:rsidRPr="00236925">
          <w:rPr>
            <w:rFonts w:ascii="Times New Roman" w:hAnsi="Times New Roman" w:cs="Times New Roman"/>
            <w:sz w:val="28"/>
            <w:szCs w:val="28"/>
          </w:rPr>
          <w:t>1 и 23-24</w:t>
        </w:r>
        <w:r w:rsidR="00164F94" w:rsidRPr="0023692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36925">
          <w:rPr>
            <w:rFonts w:ascii="Times New Roman" w:hAnsi="Times New Roman" w:cs="Times New Roman"/>
            <w:sz w:val="28"/>
            <w:szCs w:val="28"/>
          </w:rPr>
          <w:t>пункта 14 графы 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предпринимателем, указанного в </w:t>
      </w:r>
      <w:hyperlink r:id="rId19">
        <w:r w:rsidRPr="00236925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164F94" w:rsidRPr="00236925">
          <w:rPr>
            <w:rFonts w:ascii="Times New Roman" w:hAnsi="Times New Roman" w:cs="Times New Roman"/>
            <w:sz w:val="28"/>
            <w:szCs w:val="28"/>
          </w:rPr>
          <w:t>7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Перечня, в случае, если сумма указанного договора не превышает 100 тысяч рублей).</w:t>
      </w:r>
    </w:p>
    <w:p w14:paraId="661194B8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23692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4B8335C7" w14:textId="77777777" w:rsidR="007C4397" w:rsidRPr="00236925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3"/>
      <w:bookmarkEnd w:id="25"/>
      <w:r w:rsidRPr="00236925">
        <w:rPr>
          <w:rFonts w:ascii="Times New Roman" w:hAnsi="Times New Roman" w:cs="Times New Roman"/>
          <w:sz w:val="28"/>
          <w:szCs w:val="28"/>
        </w:rPr>
        <w:t>8</w:t>
      </w:r>
      <w:r w:rsidR="007C4397" w:rsidRPr="00236925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23692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контрактом), предусматривающим обязанность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- </w:t>
      </w:r>
      <w:r w:rsidRPr="00236925">
        <w:rPr>
          <w:rFonts w:ascii="Times New Roman" w:hAnsi="Times New Roman" w:cs="Times New Roman"/>
          <w:sz w:val="28"/>
          <w:szCs w:val="28"/>
        </w:rPr>
        <w:t>муниципального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>,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236925"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 w:rsidRPr="00236925"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14:paraId="03B2F275" w14:textId="77777777" w:rsidR="007C4397" w:rsidRPr="00236925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5"/>
      <w:bookmarkEnd w:id="26"/>
      <w:r w:rsidRPr="00236925">
        <w:rPr>
          <w:rFonts w:ascii="Times New Roman" w:hAnsi="Times New Roman" w:cs="Times New Roman"/>
          <w:sz w:val="28"/>
          <w:szCs w:val="28"/>
        </w:rPr>
        <w:t>9</w:t>
      </w:r>
      <w:r w:rsidR="007C4397" w:rsidRPr="00236925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030C19D8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24834CF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271EABAA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9"/>
      <w:bookmarkEnd w:id="27"/>
      <w:r w:rsidRPr="00236925">
        <w:rPr>
          <w:rFonts w:ascii="Times New Roman" w:hAnsi="Times New Roman" w:cs="Times New Roman"/>
          <w:sz w:val="28"/>
          <w:szCs w:val="28"/>
        </w:rPr>
        <w:t>1</w:t>
      </w:r>
      <w:r w:rsidR="000A22DD" w:rsidRPr="00236925">
        <w:rPr>
          <w:rFonts w:ascii="Times New Roman" w:hAnsi="Times New Roman" w:cs="Times New Roman"/>
          <w:sz w:val="28"/>
          <w:szCs w:val="28"/>
        </w:rPr>
        <w:t>0</w:t>
      </w:r>
      <w:r w:rsidRPr="00236925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</w:t>
      </w:r>
      <w:r w:rsidRPr="00236925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перечислениям по источникам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14:paraId="5EAC67A7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7114E22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0DEF2760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369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6925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2AC64A1E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3"/>
      <w:bookmarkEnd w:id="28"/>
      <w:r w:rsidRPr="00236925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договорам (</w:t>
      </w:r>
      <w:r w:rsidR="000A22DD" w:rsidRPr="00236925">
        <w:rPr>
          <w:rFonts w:ascii="Times New Roman" w:hAnsi="Times New Roman" w:cs="Times New Roman"/>
          <w:sz w:val="28"/>
          <w:szCs w:val="28"/>
        </w:rPr>
        <w:t>муниципальным</w:t>
      </w:r>
      <w:r w:rsidRPr="00236925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9" w:name="P174"/>
    <w:bookmarkEnd w:id="29"/>
    <w:p w14:paraId="14163C3D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fldChar w:fldCharType="begin"/>
      </w:r>
      <w:r w:rsidRPr="00236925">
        <w:rPr>
          <w:rFonts w:ascii="Times New Roman" w:hAnsi="Times New Roman" w:cs="Times New Roman"/>
          <w:sz w:val="28"/>
          <w:szCs w:val="28"/>
        </w:rPr>
        <w:instrText xml:space="preserve"> HYPERLINK \l "P66" \h </w:instrText>
      </w:r>
      <w:r w:rsidRPr="00236925">
        <w:rPr>
          <w:rFonts w:ascii="Times New Roman" w:hAnsi="Times New Roman" w:cs="Times New Roman"/>
          <w:sz w:val="28"/>
          <w:szCs w:val="28"/>
        </w:rPr>
      </w:r>
      <w:r w:rsidRPr="00236925">
        <w:rPr>
          <w:rFonts w:ascii="Times New Roman" w:hAnsi="Times New Roman" w:cs="Times New Roman"/>
          <w:sz w:val="28"/>
          <w:szCs w:val="28"/>
        </w:rPr>
        <w:fldChar w:fldCharType="separate"/>
      </w:r>
      <w:r w:rsidRPr="00236925">
        <w:rPr>
          <w:rFonts w:ascii="Times New Roman" w:hAnsi="Times New Roman" w:cs="Times New Roman"/>
          <w:sz w:val="28"/>
          <w:szCs w:val="28"/>
        </w:rPr>
        <w:t>подпунктами 2</w:t>
      </w:r>
      <w:r w:rsidRPr="00236925">
        <w:rPr>
          <w:rFonts w:ascii="Times New Roman" w:hAnsi="Times New Roman" w:cs="Times New Roman"/>
          <w:sz w:val="28"/>
          <w:szCs w:val="28"/>
        </w:rPr>
        <w:fldChar w:fldCharType="end"/>
      </w:r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>
        <w:r w:rsidR="00E41E77" w:rsidRPr="00236925">
          <w:rPr>
            <w:rFonts w:ascii="Times New Roman" w:hAnsi="Times New Roman" w:cs="Times New Roman"/>
            <w:sz w:val="28"/>
            <w:szCs w:val="28"/>
          </w:rPr>
          <w:t>14</w:t>
        </w:r>
      </w:hyperlink>
      <w:hyperlink w:anchor="P101">
        <w:r w:rsidRPr="0023692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23692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>
        <w:r w:rsidRPr="002369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>
        <w:r w:rsidRPr="002369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23692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r w:rsidR="00E92A76" w:rsidRPr="00236925">
        <w:rPr>
          <w:rFonts w:ascii="Times New Roman" w:hAnsi="Times New Roman" w:cs="Times New Roman"/>
          <w:sz w:val="28"/>
          <w:szCs w:val="28"/>
        </w:rPr>
        <w:t>1</w:t>
      </w:r>
      <w:hyperlink w:anchor="P150">
        <w:r w:rsidR="00E92A76" w:rsidRPr="002369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r w:rsidR="004A4EEB" w:rsidRPr="00236925">
        <w:rPr>
          <w:rFonts w:ascii="Times New Roman" w:hAnsi="Times New Roman" w:cs="Times New Roman"/>
          <w:sz w:val="28"/>
          <w:szCs w:val="28"/>
        </w:rPr>
        <w:t>–</w:t>
      </w:r>
      <w:r w:rsidRPr="00236925">
        <w:rPr>
          <w:rFonts w:ascii="Times New Roman" w:hAnsi="Times New Roman" w:cs="Times New Roman"/>
          <w:sz w:val="28"/>
          <w:szCs w:val="28"/>
        </w:rPr>
        <w:t xml:space="preserve"> </w:t>
      </w:r>
      <w:r w:rsidR="00E41E77" w:rsidRPr="00236925">
        <w:rPr>
          <w:rFonts w:ascii="Times New Roman" w:hAnsi="Times New Roman" w:cs="Times New Roman"/>
          <w:sz w:val="28"/>
          <w:szCs w:val="28"/>
        </w:rPr>
        <w:t>1</w:t>
      </w:r>
      <w:r w:rsidR="00E92A76" w:rsidRPr="00236925">
        <w:rPr>
          <w:rFonts w:ascii="Times New Roman" w:hAnsi="Times New Roman" w:cs="Times New Roman"/>
          <w:sz w:val="28"/>
          <w:szCs w:val="28"/>
        </w:rPr>
        <w:t>7</w:t>
      </w:r>
      <w:r w:rsidR="004A4EEB" w:rsidRPr="00236925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14:paraId="3411B3BF" w14:textId="77777777" w:rsidR="007C4397" w:rsidRPr="00236925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>
        <w:r w:rsidR="007C4397" w:rsidRPr="00236925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информационной системы</w:t>
      </w:r>
      <w:r w:rsidR="000A22DD" w:rsidRPr="00236925">
        <w:rPr>
          <w:rFonts w:ascii="Times New Roman" w:hAnsi="Times New Roman" w:cs="Times New Roman"/>
          <w:sz w:val="28"/>
          <w:szCs w:val="28"/>
        </w:rPr>
        <w:t xml:space="preserve"> органа, осуществляющего ведение лицевого счета,</w:t>
      </w:r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236925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7C4397" w:rsidRPr="0023692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26297A15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D4D59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0">
        <w:r w:rsidRPr="00236925">
          <w:rPr>
            <w:rFonts w:ascii="Times New Roman" w:hAnsi="Times New Roman" w:cs="Times New Roman"/>
            <w:sz w:val="28"/>
            <w:szCs w:val="28"/>
          </w:rPr>
          <w:t>пунктом 4 графы 2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Перечня, проверка, предусмотренная </w:t>
      </w:r>
      <w:hyperlink w:anchor="P117">
        <w:r w:rsidRPr="00236925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, указанного в денежном обязательстве.</w:t>
      </w:r>
    </w:p>
    <w:p w14:paraId="6ACD2160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1"/>
      <w:bookmarkEnd w:id="30"/>
      <w:r w:rsidRPr="00236925">
        <w:rPr>
          <w:rFonts w:ascii="Times New Roman" w:hAnsi="Times New Roman" w:cs="Times New Roman"/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2369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2369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23692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23692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92A76" w:rsidRPr="00236925">
        <w:rPr>
          <w:rFonts w:ascii="Times New Roman" w:hAnsi="Times New Roman" w:cs="Times New Roman"/>
          <w:sz w:val="28"/>
          <w:szCs w:val="28"/>
        </w:rPr>
        <w:t>5</w:t>
      </w:r>
      <w:r w:rsidRPr="00236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  <w:r w:rsidR="00E92A76" w:rsidRPr="00236925">
          <w:rPr>
            <w:rFonts w:ascii="Times New Roman" w:hAnsi="Times New Roman" w:cs="Times New Roman"/>
            <w:sz w:val="28"/>
            <w:szCs w:val="28"/>
          </w:rPr>
          <w:t>7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236925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, </w:t>
      </w:r>
      <w:r w:rsidR="000A22DD" w:rsidRPr="00236925">
        <w:rPr>
          <w:rFonts w:ascii="Times New Roman" w:hAnsi="Times New Roman" w:cs="Times New Roman"/>
          <w:sz w:val="28"/>
          <w:szCs w:val="28"/>
        </w:rPr>
        <w:t xml:space="preserve">9 </w:t>
      </w:r>
      <w:r w:rsidRPr="0023692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9">
        <w:r w:rsidRPr="0023692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A22DD" w:rsidRPr="00236925">
        <w:rPr>
          <w:rFonts w:ascii="Times New Roman" w:hAnsi="Times New Roman" w:cs="Times New Roman"/>
          <w:sz w:val="28"/>
          <w:szCs w:val="28"/>
        </w:rPr>
        <w:t>0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r w:rsidR="00E41E77" w:rsidRPr="0023692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63">
        <w:r w:rsidR="000A22DD" w:rsidRPr="0023692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53">
        <w:r w:rsidRPr="0023692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E56A3" w:rsidRPr="00236925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  <w:r w:rsidR="00E74F00" w:rsidRPr="00236925">
        <w:rPr>
          <w:rFonts w:ascii="Times New Roman" w:hAnsi="Times New Roman" w:cs="Times New Roman"/>
          <w:sz w:val="28"/>
          <w:szCs w:val="28"/>
        </w:rPr>
        <w:t>.</w:t>
      </w:r>
    </w:p>
    <w:p w14:paraId="5A865C1B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857F0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44">
        <w:r w:rsidRPr="0023692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40179" w:rsidRPr="00236925">
          <w:rPr>
            <w:rFonts w:ascii="Times New Roman" w:hAnsi="Times New Roman" w:cs="Times New Roman"/>
            <w:sz w:val="28"/>
            <w:szCs w:val="28"/>
          </w:rPr>
          <w:t>о</w:t>
        </w:r>
        <w:r w:rsidRPr="00236925">
          <w:rPr>
            <w:rFonts w:ascii="Times New Roman" w:hAnsi="Times New Roman" w:cs="Times New Roman"/>
            <w:sz w:val="28"/>
            <w:szCs w:val="28"/>
          </w:rPr>
          <w:t>м 14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 настоящего Порядка,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236925">
        <w:rPr>
          <w:rFonts w:ascii="Times New Roman" w:hAnsi="Times New Roman" w:cs="Times New Roman"/>
          <w:sz w:val="28"/>
          <w:szCs w:val="28"/>
        </w:rPr>
        <w:t>,</w:t>
      </w:r>
      <w:r w:rsidRPr="0023692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w:anchor="P212">
        <w:r w:rsidR="000A22DD" w:rsidRPr="00236925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23692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A22DD" w:rsidRPr="00236925">
          <w:rPr>
            <w:rFonts w:ascii="Times New Roman" w:hAnsi="Times New Roman" w:cs="Times New Roman"/>
            <w:sz w:val="28"/>
            <w:szCs w:val="28"/>
          </w:rPr>
          <w:t>№</w:t>
        </w:r>
        <w:r w:rsidRPr="002369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14:paraId="5CA2941D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18F52C" w14:textId="77777777" w:rsidR="007C4397" w:rsidRPr="00236925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>
        <w:r w:rsidRPr="0023692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>
        <w:r w:rsidRPr="0023692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236925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закупок.</w:t>
      </w:r>
    </w:p>
    <w:p w14:paraId="2C82949E" w14:textId="77777777" w:rsidR="007C4397" w:rsidRPr="0023692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23692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6925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236925">
        <w:rPr>
          <w:rFonts w:ascii="Times New Roman" w:hAnsi="Times New Roman" w:cs="Times New Roman"/>
          <w:sz w:val="28"/>
          <w:szCs w:val="28"/>
        </w:rPr>
        <w:t>органа, осуществляющего ведение лицевого счета</w:t>
      </w:r>
      <w:r w:rsidRPr="00236925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14:paraId="288C4000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0083C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89D2A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4E99D" w14:textId="77777777" w:rsidR="005B36AB" w:rsidRPr="00236925" w:rsidRDefault="005B36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C6AF55" w14:textId="77777777" w:rsidR="005B36AB" w:rsidRPr="00236925" w:rsidRDefault="005B36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B85827" w14:textId="77777777" w:rsidR="00236925" w:rsidRDefault="00236925" w:rsidP="001E36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B4BD0D" w14:textId="77777777" w:rsidR="00236925" w:rsidRDefault="00236925" w:rsidP="001E36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5B2E8B" w14:textId="77777777" w:rsidR="00236925" w:rsidRDefault="00236925" w:rsidP="001E36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425D61" w14:textId="60C583B9" w:rsidR="007C4397" w:rsidRPr="00236925" w:rsidRDefault="007C4397" w:rsidP="001E3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3DFB" w:rsidRPr="00236925">
        <w:rPr>
          <w:rFonts w:ascii="Times New Roman" w:hAnsi="Times New Roman" w:cs="Times New Roman"/>
          <w:sz w:val="24"/>
          <w:szCs w:val="24"/>
        </w:rPr>
        <w:t>№</w:t>
      </w:r>
      <w:r w:rsidRPr="0023692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905154E" w14:textId="77777777" w:rsidR="007C4397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14:paraId="20F45AF9" w14:textId="77777777" w:rsidR="001E3660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  <w:r w:rsidR="001E3660" w:rsidRPr="00236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36C39" w14:textId="77777777" w:rsidR="001E3660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56A3" w:rsidRPr="00236925">
        <w:rPr>
          <w:rFonts w:ascii="Times New Roman" w:hAnsi="Times New Roman" w:cs="Times New Roman"/>
          <w:sz w:val="24"/>
          <w:szCs w:val="24"/>
        </w:rPr>
        <w:t>местного бюджета</w:t>
      </w:r>
      <w:r w:rsidR="001E3660" w:rsidRPr="00236925">
        <w:rPr>
          <w:rFonts w:ascii="Times New Roman" w:hAnsi="Times New Roman" w:cs="Times New Roman"/>
          <w:sz w:val="24"/>
          <w:szCs w:val="24"/>
        </w:rPr>
        <w:t xml:space="preserve"> </w:t>
      </w:r>
      <w:r w:rsidRPr="00236925">
        <w:rPr>
          <w:rFonts w:ascii="Times New Roman" w:hAnsi="Times New Roman" w:cs="Times New Roman"/>
          <w:sz w:val="24"/>
          <w:szCs w:val="24"/>
        </w:rPr>
        <w:t xml:space="preserve">и оплаты денежных </w:t>
      </w:r>
    </w:p>
    <w:p w14:paraId="1FC996DB" w14:textId="698E0436" w:rsidR="007C4397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обязательств,</w:t>
      </w:r>
      <w:r w:rsidR="001E3660" w:rsidRPr="00236925">
        <w:rPr>
          <w:rFonts w:ascii="Times New Roman" w:hAnsi="Times New Roman" w:cs="Times New Roman"/>
          <w:sz w:val="24"/>
          <w:szCs w:val="24"/>
        </w:rPr>
        <w:t xml:space="preserve"> </w:t>
      </w:r>
      <w:r w:rsidRPr="00236925">
        <w:rPr>
          <w:rFonts w:ascii="Times New Roman" w:hAnsi="Times New Roman" w:cs="Times New Roman"/>
          <w:sz w:val="24"/>
          <w:szCs w:val="24"/>
        </w:rPr>
        <w:t>подлежащих исполнению за счет</w:t>
      </w:r>
    </w:p>
    <w:p w14:paraId="13ACFFF7" w14:textId="77777777" w:rsidR="007C4397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бюджетных ассигнований по источникам</w:t>
      </w:r>
    </w:p>
    <w:p w14:paraId="6EE4673E" w14:textId="77777777" w:rsidR="007C4397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A06BA7" w:rsidRPr="00236925">
        <w:rPr>
          <w:rFonts w:ascii="Times New Roman" w:hAnsi="Times New Roman" w:cs="Times New Roman"/>
          <w:sz w:val="24"/>
          <w:szCs w:val="24"/>
        </w:rPr>
        <w:t>местного</w:t>
      </w:r>
    </w:p>
    <w:p w14:paraId="25FE8D33" w14:textId="77777777" w:rsidR="001E3660" w:rsidRPr="00236925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бюджета, </w:t>
      </w:r>
      <w:bookmarkStart w:id="31" w:name="_Hlk158366327"/>
      <w:r w:rsidRPr="00236925">
        <w:rPr>
          <w:rFonts w:ascii="Times New Roman" w:hAnsi="Times New Roman" w:cs="Times New Roman"/>
          <w:sz w:val="24"/>
          <w:szCs w:val="24"/>
        </w:rPr>
        <w:t>утвержденному</w:t>
      </w:r>
      <w:r w:rsidR="001E3660" w:rsidRPr="00236925">
        <w:rPr>
          <w:rFonts w:ascii="Times New Roman" w:hAnsi="Times New Roman" w:cs="Times New Roman"/>
          <w:sz w:val="24"/>
          <w:szCs w:val="24"/>
        </w:rPr>
        <w:t xml:space="preserve"> </w:t>
      </w:r>
      <w:r w:rsidR="005B36AB" w:rsidRPr="002369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63E94A8E" w14:textId="317B931A" w:rsidR="005B36AB" w:rsidRPr="00236925" w:rsidRDefault="005B36AB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администрации Морецкого сельского поселения</w:t>
      </w:r>
    </w:p>
    <w:p w14:paraId="5F330F99" w14:textId="298B4F5A" w:rsidR="005B36AB" w:rsidRPr="00236925" w:rsidRDefault="005B36AB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</w:p>
    <w:p w14:paraId="41DD8477" w14:textId="6684691F" w:rsidR="005B36AB" w:rsidRPr="00236925" w:rsidRDefault="005B36AB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925">
        <w:rPr>
          <w:rFonts w:ascii="Times New Roman" w:hAnsi="Times New Roman" w:cs="Times New Roman"/>
          <w:sz w:val="24"/>
          <w:szCs w:val="24"/>
        </w:rPr>
        <w:t>Волгоградской</w:t>
      </w:r>
      <w:r w:rsidRPr="00236925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</w:p>
    <w:p w14:paraId="481F7A76" w14:textId="5DC2C259" w:rsidR="007C4397" w:rsidRPr="00236925" w:rsidRDefault="005B36AB" w:rsidP="001E3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925">
        <w:rPr>
          <w:rFonts w:ascii="Times New Roman" w:hAnsi="Times New Roman" w:cs="Times New Roman"/>
          <w:sz w:val="24"/>
          <w:szCs w:val="24"/>
        </w:rPr>
        <w:t>от 19.01.2024г.</w:t>
      </w:r>
      <w:r w:rsidR="001E3660" w:rsidRPr="00236925">
        <w:rPr>
          <w:rFonts w:ascii="Times New Roman" w:hAnsi="Times New Roman" w:cs="Times New Roman"/>
          <w:sz w:val="24"/>
          <w:szCs w:val="24"/>
        </w:rPr>
        <w:t xml:space="preserve"> № 6</w:t>
      </w:r>
    </w:p>
    <w:tbl>
      <w:tblPr>
        <w:tblW w:w="94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5"/>
        <w:gridCol w:w="353"/>
        <w:gridCol w:w="2421"/>
        <w:gridCol w:w="353"/>
        <w:gridCol w:w="2007"/>
        <w:gridCol w:w="1061"/>
        <w:gridCol w:w="65"/>
      </w:tblGrid>
      <w:tr w:rsidR="007C4397" w:rsidRPr="00236925" w14:paraId="4B11622B" w14:textId="77777777" w:rsidTr="00236925">
        <w:trPr>
          <w:trHeight w:val="652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FA92C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212"/>
            <w:bookmarkEnd w:id="31"/>
            <w:bookmarkEnd w:id="32"/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14:paraId="3389DDD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  <w:tr w:rsidR="007C4397" w:rsidRPr="00236925" w14:paraId="686408F7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4" w:type="dxa"/>
          <w:trHeight w:val="424"/>
        </w:trPr>
        <w:tc>
          <w:tcPr>
            <w:tcW w:w="5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B8C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43AAAC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1B4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D528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236925" w14:paraId="0067EF6C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4" w:type="dxa"/>
          <w:trHeight w:val="145"/>
        </w:trPr>
        <w:tc>
          <w:tcPr>
            <w:tcW w:w="5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B8D6B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E12919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6FBAF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F2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7C4397" w:rsidRPr="00236925" w14:paraId="2888CDE5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667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2E58A63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9ECD39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05CB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054055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E27E9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3C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6B7EF8F2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97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9A4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236925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FDEE96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C795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4B8F56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B1342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B69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4AF5DFE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439"/>
        </w:trPr>
        <w:tc>
          <w:tcPr>
            <w:tcW w:w="3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14A1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2FBE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26168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23AD6A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921C1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A3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048365FE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145"/>
        </w:trPr>
        <w:tc>
          <w:tcPr>
            <w:tcW w:w="3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5BAD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D43E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2326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C43A80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2DB61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3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46A39E87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65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64D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AE656D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E46C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00F187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96517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0C7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6941BC4A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9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0E0584B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4C090D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8111F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49C3C9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CC48C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D2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016A895E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33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50A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3DFF47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2D60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4CA493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7F8D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73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6CCFE3A4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33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7E9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6193D7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82F6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F20A56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6C98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06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33518D74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5" w:type="dxa"/>
          <w:trHeight w:val="97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7E5D099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2456E7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BED9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AC6F80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5D82B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94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01688AD2" w14:textId="77777777" w:rsidTr="00236925">
        <w:tblPrEx>
          <w:tblBorders>
            <w:right w:val="single" w:sz="4" w:space="0" w:color="auto"/>
          </w:tblBorders>
        </w:tblPrEx>
        <w:trPr>
          <w:gridAfter w:val="1"/>
          <w:wAfter w:w="64" w:type="dxa"/>
          <w:trHeight w:val="667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C65F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2D1ACB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BFAD0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3F2" w14:textId="77777777" w:rsidR="007C4397" w:rsidRPr="00236925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7C4397" w:rsidRPr="0023692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14:paraId="22A2502A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84F343" w14:textId="77777777" w:rsidR="00236925" w:rsidRDefault="0023692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36925" w:rsidSect="00715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EA25BD" w14:textId="77777777" w:rsidR="007C4397" w:rsidRPr="00236925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236925" w:rsidSect="00715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236925" w14:paraId="5BD731D8" w14:textId="77777777">
        <w:tc>
          <w:tcPr>
            <w:tcW w:w="3855" w:type="dxa"/>
            <w:gridSpan w:val="6"/>
            <w:tcBorders>
              <w:left w:val="nil"/>
            </w:tcBorders>
          </w:tcPr>
          <w:p w14:paraId="7CB697C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03E9231B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21F481AD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3C1F8C8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215F3093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236925" w14:paraId="59C3F143" w14:textId="77777777">
        <w:tc>
          <w:tcPr>
            <w:tcW w:w="510" w:type="dxa"/>
            <w:vMerge w:val="restart"/>
            <w:tcBorders>
              <w:left w:val="nil"/>
            </w:tcBorders>
          </w:tcPr>
          <w:p w14:paraId="69A01F61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3EE0CC5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14:paraId="510CFCDA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14:paraId="7A4D14B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7A20319A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14:paraId="401BD6A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0706D2A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2BCC58E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597ADED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184B7F0A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4D0B8DA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F46123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E368E7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E036E8D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14:paraId="04B4E77A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14:paraId="2B20D50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99B06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141256F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1E9EDD8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4FA56CC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C0E6D22" w14:textId="77777777">
        <w:tc>
          <w:tcPr>
            <w:tcW w:w="510" w:type="dxa"/>
            <w:tcBorders>
              <w:left w:val="nil"/>
            </w:tcBorders>
          </w:tcPr>
          <w:p w14:paraId="23556D90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F58F95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3634CA3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14:paraId="037FD99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ACC320D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14:paraId="66A90AA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E0A2152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65AD4EA2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14:paraId="44AE82D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75DDE105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397" w:rsidRPr="00236925" w14:paraId="25F2C209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307D95F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EF95D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54939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DAF58C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ECCDD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9A16FE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E864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C81FC5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1BAE92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5A8E738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A8B63" w14:textId="77777777" w:rsidR="007C4397" w:rsidRPr="00236925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236925" w:rsidSect="00715B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892570A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7C4397" w:rsidRPr="00236925" w14:paraId="1C775283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0110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F81E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31674975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2C08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F5F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79D030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236925" w14:paraId="655E233D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B49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236925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0158C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6B1A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CAA08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CFF6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E301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966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1EFD31A2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77ABBB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1470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E408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EF6D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0CB0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DACB5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7171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236925" w14:paraId="4DA8B213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65E5B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2BBEA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3F017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26F29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34661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D49C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447E2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C4722B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CD1B6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5F0C8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53154E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CC744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73B7D6" w14:textId="77777777" w:rsidR="001E3660" w:rsidRPr="00236925" w:rsidRDefault="001E3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E5514" w14:textId="77777777" w:rsidR="001E3660" w:rsidRPr="00236925" w:rsidRDefault="001E3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54309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9871C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12B04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C1D3C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A461D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08CAC" w14:textId="77777777" w:rsidR="00E74F00" w:rsidRPr="00236925" w:rsidRDefault="00E7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15690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2B5D6" w14:textId="77777777" w:rsidR="001E3660" w:rsidRPr="00236925" w:rsidRDefault="001E36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E3660" w:rsidRPr="00236925" w:rsidSect="00715B1F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14:paraId="39C28F01" w14:textId="77777777" w:rsidR="007C4397" w:rsidRPr="00ED16FF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3DFB" w:rsidRPr="00ED16FF">
        <w:rPr>
          <w:rFonts w:ascii="Times New Roman" w:hAnsi="Times New Roman" w:cs="Times New Roman"/>
          <w:sz w:val="24"/>
          <w:szCs w:val="24"/>
        </w:rPr>
        <w:t>№</w:t>
      </w:r>
      <w:r w:rsidRPr="00ED16F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7F4F825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14:paraId="0BE09B08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14:paraId="42A8317C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56A3" w:rsidRPr="00ED16FF">
        <w:rPr>
          <w:rFonts w:ascii="Times New Roman" w:hAnsi="Times New Roman" w:cs="Times New Roman"/>
          <w:sz w:val="24"/>
          <w:szCs w:val="24"/>
        </w:rPr>
        <w:t>местного бюджета</w:t>
      </w:r>
    </w:p>
    <w:p w14:paraId="497F4900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>и оплаты денежных обязательств,</w:t>
      </w:r>
    </w:p>
    <w:p w14:paraId="33204E81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>подлежащих исполнению за счет</w:t>
      </w:r>
    </w:p>
    <w:p w14:paraId="79708BF8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>бюджетных ассигнований по источникам</w:t>
      </w:r>
    </w:p>
    <w:p w14:paraId="6DB69284" w14:textId="77777777" w:rsidR="007C4397" w:rsidRPr="00ED16FF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FF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A06BA7" w:rsidRPr="00ED16FF">
        <w:rPr>
          <w:rFonts w:ascii="Times New Roman" w:hAnsi="Times New Roman" w:cs="Times New Roman"/>
          <w:sz w:val="24"/>
          <w:szCs w:val="24"/>
        </w:rPr>
        <w:t>местного</w:t>
      </w:r>
    </w:p>
    <w:p w14:paraId="50F3AC7D" w14:textId="77777777" w:rsidR="001E3660" w:rsidRPr="00A51AC2" w:rsidRDefault="007C4397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C2">
        <w:rPr>
          <w:rFonts w:ascii="Times New Roman" w:hAnsi="Times New Roman" w:cs="Times New Roman"/>
          <w:sz w:val="24"/>
          <w:szCs w:val="24"/>
        </w:rPr>
        <w:t xml:space="preserve">бюджета, </w:t>
      </w:r>
      <w:r w:rsidR="001E3660" w:rsidRPr="00A51AC2"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</w:t>
      </w:r>
    </w:p>
    <w:p w14:paraId="2F2D06C3" w14:textId="77777777" w:rsidR="001E3660" w:rsidRPr="00A51AC2" w:rsidRDefault="001E3660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C2">
        <w:rPr>
          <w:rFonts w:ascii="Times New Roman" w:hAnsi="Times New Roman" w:cs="Times New Roman"/>
          <w:sz w:val="24"/>
          <w:szCs w:val="24"/>
        </w:rPr>
        <w:t>администрации Морецкого сельского поселения</w:t>
      </w:r>
    </w:p>
    <w:p w14:paraId="6D692806" w14:textId="77777777" w:rsidR="001E3660" w:rsidRPr="00A51AC2" w:rsidRDefault="001E3660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C2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</w:p>
    <w:p w14:paraId="76316F6E" w14:textId="77777777" w:rsidR="001E3660" w:rsidRPr="00A51AC2" w:rsidRDefault="001E3660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C2">
        <w:rPr>
          <w:rFonts w:ascii="Times New Roman" w:hAnsi="Times New Roman" w:cs="Times New Roman"/>
          <w:sz w:val="24"/>
          <w:szCs w:val="24"/>
        </w:rPr>
        <w:t>Волгоградской</w:t>
      </w:r>
      <w:r w:rsidRPr="00A51AC2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</w:p>
    <w:p w14:paraId="618CB589" w14:textId="77777777" w:rsidR="001E3660" w:rsidRPr="00A51AC2" w:rsidRDefault="001E3660" w:rsidP="001E3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C2">
        <w:rPr>
          <w:rFonts w:ascii="Times New Roman" w:hAnsi="Times New Roman" w:cs="Times New Roman"/>
          <w:sz w:val="24"/>
          <w:szCs w:val="24"/>
        </w:rPr>
        <w:t>от 19.01.2024г. № 6</w:t>
      </w:r>
    </w:p>
    <w:p w14:paraId="101FC1AD" w14:textId="6E1D3C3B" w:rsidR="001E3660" w:rsidRPr="00236925" w:rsidRDefault="001E3660" w:rsidP="001E366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236925" w14:paraId="2B082F1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1F03462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356"/>
            <w:bookmarkEnd w:id="33"/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14:paraId="77163BFC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14:paraId="7402FED5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236925" w14:paraId="72B1746D" w14:textId="77777777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392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5845B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842D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402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236925" w14:paraId="42491211" w14:textId="77777777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CC612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B7C9D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7318C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5AD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7C4397" w:rsidRPr="00236925" w14:paraId="62A6C5C2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846F65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4104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0B2D5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695CB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688F5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CD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2C488A23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970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236925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9751B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79EF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A6BB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C465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19E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1C70A1C0" w14:textId="77777777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824A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3D10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06947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7994E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26AAA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23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610B402" w14:textId="77777777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A155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0CB1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B5B0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05EE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4CC2E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6D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07947EAF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6994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C2150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C784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FA02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0AA67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F2E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63E9CCA3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6CCAF3A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6B31F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69A2A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1E88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1CF7E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FC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965A29B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6D8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E34FA7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3919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3F74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196C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EE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2BDCCA28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C0D1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F241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76B8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5F63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438D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1A5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28A48595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044188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6CDAA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C8DE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ABFBC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7EC78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15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9F48CD4" w14:textId="77777777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560D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8135C1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80D8D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4EF" w14:textId="77777777" w:rsidR="007C4397" w:rsidRPr="00236925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7C4397" w:rsidRPr="0023692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14:paraId="15CB9036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236925" w14:paraId="2EA80216" w14:textId="77777777">
        <w:tc>
          <w:tcPr>
            <w:tcW w:w="4989" w:type="dxa"/>
            <w:gridSpan w:val="5"/>
            <w:tcBorders>
              <w:left w:val="nil"/>
            </w:tcBorders>
          </w:tcPr>
          <w:p w14:paraId="3D68305F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611494A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6D9803AA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7BD17CA7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236925" w14:paraId="44191BF9" w14:textId="77777777">
        <w:tc>
          <w:tcPr>
            <w:tcW w:w="624" w:type="dxa"/>
            <w:tcBorders>
              <w:left w:val="nil"/>
            </w:tcBorders>
          </w:tcPr>
          <w:p w14:paraId="7E64E3B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14:paraId="7F813952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14:paraId="1B810E94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41190D1F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7919316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568A3AA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0FF7FB1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3768A1E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5871DFE3" w14:textId="77777777">
        <w:tc>
          <w:tcPr>
            <w:tcW w:w="624" w:type="dxa"/>
            <w:tcBorders>
              <w:left w:val="nil"/>
            </w:tcBorders>
          </w:tcPr>
          <w:p w14:paraId="12530A9C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16CAAC6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7844F24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080FD8ED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301C00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14:paraId="5531CF9F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14:paraId="72F6EE3C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061E6E15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97" w:rsidRPr="00236925" w14:paraId="0E6467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23A6F38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D8BF9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43A8C8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652EB36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5100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665547C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866CE6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08DF1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DBF49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7C4397" w:rsidRPr="00236925" w14:paraId="52AEA531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3A53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A3DB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73058DC5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110431A1" w14:textId="77777777" w:rsidR="007C4397" w:rsidRPr="00236925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A56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CB15B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9"/>
        <w:gridCol w:w="157"/>
        <w:gridCol w:w="1778"/>
        <w:gridCol w:w="193"/>
        <w:gridCol w:w="1555"/>
        <w:gridCol w:w="149"/>
        <w:gridCol w:w="226"/>
        <w:gridCol w:w="1687"/>
      </w:tblGrid>
      <w:tr w:rsidR="007C4397" w:rsidRPr="00236925" w14:paraId="7C9D4894" w14:textId="77777777" w:rsidTr="00ED16FF">
        <w:trPr>
          <w:trHeight w:val="1437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D463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236925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66FCBC1E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9C928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036B97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6752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71785DD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B55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236925" w14:paraId="201F5448" w14:textId="77777777" w:rsidTr="00ED16FF">
        <w:trPr>
          <w:trHeight w:val="1099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59A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DD9B66D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8693D" w14:textId="0626074F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032A0362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7F3E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E7A04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BCC09" w14:textId="77777777" w:rsidR="007C4397" w:rsidRPr="00236925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236925" w14:paraId="19AE7245" w14:textId="77777777" w:rsidTr="00ED16FF">
        <w:trPr>
          <w:trHeight w:val="35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6CF10DEB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5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76AFE050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543D4549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D97F4D5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987E1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B56EF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BB2E956" w14:textId="77777777" w:rsidR="007C4397" w:rsidRPr="00236925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27571" w14:textId="77777777" w:rsidR="007C4397" w:rsidRPr="00236925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2EA3B3" w14:textId="77777777" w:rsidR="007C4397" w:rsidRPr="00236925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14ADCC0" w14:textId="77777777" w:rsidR="00F01164" w:rsidRPr="00236925" w:rsidRDefault="00F01164">
      <w:pPr>
        <w:rPr>
          <w:rFonts w:ascii="Times New Roman" w:hAnsi="Times New Roman" w:cs="Times New Roman"/>
          <w:sz w:val="28"/>
          <w:szCs w:val="28"/>
        </w:rPr>
      </w:pPr>
    </w:p>
    <w:sectPr w:rsidR="00F01164" w:rsidRPr="00236925" w:rsidSect="00715B1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97"/>
    <w:rsid w:val="000A22DD"/>
    <w:rsid w:val="001006B0"/>
    <w:rsid w:val="00132C60"/>
    <w:rsid w:val="00164F94"/>
    <w:rsid w:val="00185CCB"/>
    <w:rsid w:val="001E3660"/>
    <w:rsid w:val="00236925"/>
    <w:rsid w:val="002969D6"/>
    <w:rsid w:val="003469DF"/>
    <w:rsid w:val="003470B5"/>
    <w:rsid w:val="00440179"/>
    <w:rsid w:val="004A4EEB"/>
    <w:rsid w:val="004A7A7E"/>
    <w:rsid w:val="004E56A3"/>
    <w:rsid w:val="0055729C"/>
    <w:rsid w:val="0059048E"/>
    <w:rsid w:val="005B36AB"/>
    <w:rsid w:val="005B6D3E"/>
    <w:rsid w:val="005C3DFB"/>
    <w:rsid w:val="005F0206"/>
    <w:rsid w:val="006623ED"/>
    <w:rsid w:val="0068784E"/>
    <w:rsid w:val="00715B1F"/>
    <w:rsid w:val="00761FA3"/>
    <w:rsid w:val="007C4397"/>
    <w:rsid w:val="007E06C4"/>
    <w:rsid w:val="00801B5A"/>
    <w:rsid w:val="00864F4E"/>
    <w:rsid w:val="008C76B7"/>
    <w:rsid w:val="00935D60"/>
    <w:rsid w:val="009663E9"/>
    <w:rsid w:val="00A06BA7"/>
    <w:rsid w:val="00A51AC2"/>
    <w:rsid w:val="00C078E1"/>
    <w:rsid w:val="00CF7001"/>
    <w:rsid w:val="00E41E77"/>
    <w:rsid w:val="00E632C1"/>
    <w:rsid w:val="00E71CCF"/>
    <w:rsid w:val="00E74F00"/>
    <w:rsid w:val="00E92A76"/>
    <w:rsid w:val="00ED16FF"/>
    <w:rsid w:val="00F01164"/>
    <w:rsid w:val="00F16009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1D6B"/>
  <w15:docId w15:val="{40180B51-0342-4B4A-BE5C-6E2FCC7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A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E2C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2C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2C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2C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2CA1"/>
    <w:rPr>
      <w:b/>
      <w:bCs/>
      <w:sz w:val="20"/>
      <w:szCs w:val="20"/>
    </w:rPr>
  </w:style>
  <w:style w:type="table" w:styleId="aa">
    <w:name w:val="Table Grid"/>
    <w:basedOn w:val="a1"/>
    <w:uiPriority w:val="59"/>
    <w:rsid w:val="0059048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03363" TargetMode="External"/><Relationship Id="rId13" Type="http://schemas.openxmlformats.org/officeDocument/2006/relationships/hyperlink" Target="https://login.consultant.ru/link/?req=doc&amp;base=LAW&amp;n=436705&amp;dst=100456" TargetMode="External"/><Relationship Id="rId18" Type="http://schemas.openxmlformats.org/officeDocument/2006/relationships/hyperlink" Target="https://login.consultant.ru/link/?req=doc&amp;base=LAW&amp;n=436705&amp;dst=1004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1135&amp;dst=101916" TargetMode="External"/><Relationship Id="rId7" Type="http://schemas.openxmlformats.org/officeDocument/2006/relationships/hyperlink" Target="https://login.consultant.ru/link/?req=doc&amp;base=LAW&amp;n=461085&amp;dst=4913" TargetMode="External"/><Relationship Id="rId12" Type="http://schemas.openxmlformats.org/officeDocument/2006/relationships/hyperlink" Target="https://login.consultant.ru/link/?req=doc&amp;base=LAW&amp;n=436705&amp;dst=100443" TargetMode="External"/><Relationship Id="rId17" Type="http://schemas.openxmlformats.org/officeDocument/2006/relationships/hyperlink" Target="https://login.consultant.ru/link/?req=doc&amp;base=LAW&amp;n=436705&amp;dst=100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05&amp;dst=100470" TargetMode="External"/><Relationship Id="rId20" Type="http://schemas.openxmlformats.org/officeDocument/2006/relationships/hyperlink" Target="https://login.consultant.ru/link/?req=doc&amp;base=LAW&amp;n=436705&amp;dst=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1085&amp;dst=2592" TargetMode="External"/><Relationship Id="rId11" Type="http://schemas.openxmlformats.org/officeDocument/2006/relationships/hyperlink" Target="https://login.consultant.ru/link/?req=doc&amp;base=LAW&amp;n=436705&amp;dst=1003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1085&amp;dst=3654" TargetMode="External"/><Relationship Id="rId15" Type="http://schemas.openxmlformats.org/officeDocument/2006/relationships/hyperlink" Target="https://login.consultant.ru/link/?req=doc&amp;base=LAW&amp;n=436705&amp;dst=1004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103142" TargetMode="External"/><Relationship Id="rId19" Type="http://schemas.openxmlformats.org/officeDocument/2006/relationships/hyperlink" Target="https://login.consultant.ru/link/?req=doc&amp;base=LAW&amp;n=436705&amp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147" TargetMode="External"/><Relationship Id="rId14" Type="http://schemas.openxmlformats.org/officeDocument/2006/relationships/hyperlink" Target="https://login.consultant.ru/link/?req=doc&amp;base=LAW&amp;n=436705&amp;dst=100464" TargetMode="External"/><Relationship Id="rId22" Type="http://schemas.openxmlformats.org/officeDocument/2006/relationships/hyperlink" Target="https://login.consultant.ru/link/?req=doc&amp;base=LAW&amp;n=441135&amp;dst=10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860A-33E6-4EE2-91AD-418A952C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6</cp:revision>
  <cp:lastPrinted>2024-01-16T09:15:00Z</cp:lastPrinted>
  <dcterms:created xsi:type="dcterms:W3CDTF">2024-02-08T09:15:00Z</dcterms:created>
  <dcterms:modified xsi:type="dcterms:W3CDTF">2024-02-09T07:36:00Z</dcterms:modified>
</cp:coreProperties>
</file>